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BD14" w14:textId="77777777" w:rsidR="005E586B" w:rsidRDefault="00000000">
      <w:pPr>
        <w:pStyle w:val="Tijelo"/>
        <w:jc w:val="center"/>
        <w:rPr>
          <w:rFonts w:ascii="Merriweather Bold" w:eastAsia="Merriweather Bold" w:hAnsi="Merriweather Bold" w:cs="Merriweather Bold"/>
          <w:sz w:val="16"/>
          <w:szCs w:val="16"/>
        </w:rPr>
      </w:pPr>
      <w:r>
        <w:rPr>
          <w:rFonts w:ascii="Merriweather Bold" w:hAnsi="Merriweather Bold"/>
          <w:sz w:val="16"/>
          <w:szCs w:val="16"/>
        </w:rPr>
        <w:t>Izvedbeni plan nastave (syllabus</w:t>
      </w:r>
      <w:r>
        <w:rPr>
          <w:rFonts w:ascii="Merriweather Regular" w:eastAsia="Merriweather Regular" w:hAnsi="Merriweather Regular" w:cs="Merriweather Regular"/>
          <w:sz w:val="16"/>
          <w:szCs w:val="16"/>
          <w:vertAlign w:val="superscript"/>
        </w:rPr>
        <w:footnoteReference w:id="2"/>
      </w:r>
      <w:r>
        <w:rPr>
          <w:rFonts w:ascii="Merriweather Bold" w:hAnsi="Merriweather Bold"/>
          <w:sz w:val="16"/>
          <w:szCs w:val="16"/>
        </w:rPr>
        <w:t>)</w:t>
      </w:r>
    </w:p>
    <w:tbl>
      <w:tblPr>
        <w:tblW w:w="90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7"/>
        <w:gridCol w:w="460"/>
        <w:gridCol w:w="237"/>
        <w:gridCol w:w="200"/>
        <w:gridCol w:w="275"/>
        <w:gridCol w:w="45"/>
        <w:gridCol w:w="160"/>
        <w:gridCol w:w="160"/>
        <w:gridCol w:w="159"/>
        <w:gridCol w:w="161"/>
        <w:gridCol w:w="207"/>
        <w:gridCol w:w="160"/>
        <w:gridCol w:w="485"/>
        <w:gridCol w:w="160"/>
        <w:gridCol w:w="160"/>
        <w:gridCol w:w="160"/>
        <w:gridCol w:w="160"/>
        <w:gridCol w:w="160"/>
        <w:gridCol w:w="365"/>
        <w:gridCol w:w="209"/>
        <w:gridCol w:w="278"/>
        <w:gridCol w:w="183"/>
        <w:gridCol w:w="402"/>
        <w:gridCol w:w="160"/>
        <w:gridCol w:w="35"/>
        <w:gridCol w:w="126"/>
        <w:gridCol w:w="158"/>
        <w:gridCol w:w="346"/>
        <w:gridCol w:w="161"/>
        <w:gridCol w:w="160"/>
        <w:gridCol w:w="158"/>
        <w:gridCol w:w="199"/>
        <w:gridCol w:w="160"/>
        <w:gridCol w:w="931"/>
      </w:tblGrid>
      <w:tr w:rsidR="005E586B" w14:paraId="3763E1C1" w14:textId="77777777" w:rsidTr="004859D2">
        <w:trPr>
          <w:trHeight w:val="45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F92BC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Sastavnica</w:t>
            </w:r>
          </w:p>
        </w:tc>
        <w:tc>
          <w:tcPr>
            <w:tcW w:w="526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D3AD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Odjel za povijest umjetnosti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56BF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8"/>
                <w:szCs w:val="18"/>
              </w:rPr>
              <w:t>akad. god.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7B4E8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Regular" w:hAnsi="Merriweather Regular"/>
                <w:sz w:val="18"/>
                <w:szCs w:val="18"/>
              </w:rPr>
              <w:t>2025./2026.</w:t>
            </w:r>
          </w:p>
        </w:tc>
      </w:tr>
      <w:tr w:rsidR="005E586B" w14:paraId="71672A8B" w14:textId="77777777" w:rsidTr="004859D2">
        <w:trPr>
          <w:trHeight w:val="47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868CE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Naziv kolegija</w:t>
            </w:r>
          </w:p>
        </w:tc>
        <w:tc>
          <w:tcPr>
            <w:tcW w:w="526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6973" w14:textId="77777777" w:rsidR="005E586B" w:rsidRDefault="00000000">
            <w:pPr>
              <w:pStyle w:val="Tijelo"/>
              <w:spacing w:before="20" w:after="20"/>
              <w:jc w:val="center"/>
              <w:rPr>
                <w:rFonts w:ascii="Merriweather Bold" w:eastAsia="Merriweather Bold" w:hAnsi="Merriweather Bold" w:cs="Merriweather Bold"/>
                <w:sz w:val="18"/>
                <w:szCs w:val="18"/>
              </w:rPr>
            </w:pPr>
            <w:r>
              <w:rPr>
                <w:rFonts w:ascii="Merriweather Bold" w:hAnsi="Merriweather Bold"/>
                <w:sz w:val="18"/>
                <w:szCs w:val="18"/>
                <w:lang w:val="en-US"/>
              </w:rPr>
              <w:t>UMJETNOST DREVNIH CIVILIZACIJA</w:t>
            </w:r>
          </w:p>
          <w:p w14:paraId="2F8F269D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8"/>
                <w:szCs w:val="18"/>
                <w:lang w:val="en-US"/>
              </w:rPr>
              <w:t>I ANTIČKE GRČKE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139A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ECTS</w:t>
            </w:r>
          </w:p>
        </w:tc>
        <w:tc>
          <w:tcPr>
            <w:tcW w:w="1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C81F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8"/>
                <w:szCs w:val="18"/>
              </w:rPr>
              <w:t>4</w:t>
            </w:r>
          </w:p>
        </w:tc>
      </w:tr>
      <w:tr w:rsidR="005E586B" w14:paraId="2DE1B870" w14:textId="77777777" w:rsidTr="004859D2">
        <w:trPr>
          <w:trHeight w:val="23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1C2C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Naziv studija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7943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  <w:lang w:val="en-US"/>
              </w:rPr>
              <w:t>Preddiplomski dvopredmetni sveučilišni studij povijesti umjetnosti</w:t>
            </w:r>
          </w:p>
        </w:tc>
      </w:tr>
      <w:tr w:rsidR="005E586B" w14:paraId="09D09A3E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D63E6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Razina studija</w:t>
            </w:r>
          </w:p>
        </w:tc>
        <w:tc>
          <w:tcPr>
            <w:tcW w:w="1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E45C5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preddiplomski 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780E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diplomski</w:t>
            </w:r>
          </w:p>
        </w:tc>
        <w:tc>
          <w:tcPr>
            <w:tcW w:w="1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7B0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integrirani</w:t>
            </w:r>
          </w:p>
        </w:tc>
        <w:tc>
          <w:tcPr>
            <w:tcW w:w="2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3967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poslijediplomski</w:t>
            </w:r>
          </w:p>
        </w:tc>
      </w:tr>
      <w:tr w:rsidR="005E586B" w14:paraId="05267AB8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00C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Godina studija</w:t>
            </w:r>
          </w:p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CE4B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1.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EA46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2.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190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3.</w:t>
            </w:r>
          </w:p>
        </w:tc>
        <w:tc>
          <w:tcPr>
            <w:tcW w:w="1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DB15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4.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9B02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5.</w:t>
            </w:r>
          </w:p>
        </w:tc>
      </w:tr>
      <w:tr w:rsidR="005E586B" w14:paraId="39782E9C" w14:textId="77777777" w:rsidTr="00511994">
        <w:trPr>
          <w:trHeight w:val="359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E9613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Semestar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175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zimski</w:t>
            </w:r>
          </w:p>
          <w:p w14:paraId="405C468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ljetni</w:t>
            </w:r>
          </w:p>
        </w:tc>
        <w:tc>
          <w:tcPr>
            <w:tcW w:w="1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DF3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I.</w:t>
            </w:r>
          </w:p>
        </w:tc>
        <w:tc>
          <w:tcPr>
            <w:tcW w:w="1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14A7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II.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1C39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III.</w:t>
            </w:r>
          </w:p>
        </w:tc>
        <w:tc>
          <w:tcPr>
            <w:tcW w:w="1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53D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IV.</w:t>
            </w:r>
          </w:p>
        </w:tc>
        <w:tc>
          <w:tcPr>
            <w:tcW w:w="1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E8DC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V.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314F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VI.</w:t>
            </w:r>
          </w:p>
        </w:tc>
      </w:tr>
      <w:tr w:rsidR="005E586B" w14:paraId="6512F0CE" w14:textId="77777777" w:rsidTr="004859D2">
        <w:trPr>
          <w:trHeight w:val="6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935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Status kolegija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9AB7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obvezni kolegij</w:t>
            </w:r>
          </w:p>
        </w:tc>
        <w:tc>
          <w:tcPr>
            <w:tcW w:w="1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476BC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izborni kolegij</w:t>
            </w:r>
          </w:p>
        </w:tc>
        <w:tc>
          <w:tcPr>
            <w:tcW w:w="27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D74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7AA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Nastavničke kompetencije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5E29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DA</w:t>
            </w:r>
          </w:p>
          <w:p w14:paraId="59672568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  <w:lang w:val="de-DE"/>
              </w:rPr>
              <w:t xml:space="preserve"> NE</w:t>
            </w:r>
          </w:p>
        </w:tc>
      </w:tr>
      <w:tr w:rsidR="005E586B" w14:paraId="26526CB2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E980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 xml:space="preserve">Opterećenje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A518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30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8280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36136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15</w:t>
            </w:r>
          </w:p>
        </w:tc>
        <w:tc>
          <w:tcPr>
            <w:tcW w:w="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2011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S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2902" w14:textId="77777777" w:rsidR="005E586B" w:rsidRDefault="005E586B"/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CE2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V</w:t>
            </w:r>
          </w:p>
        </w:tc>
        <w:tc>
          <w:tcPr>
            <w:tcW w:w="2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24B2" w14:textId="77777777" w:rsidR="005E586B" w:rsidRDefault="00000000">
            <w:pPr>
              <w:pStyle w:val="Tijelo"/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Mrežne stranice kolegija</w:t>
            </w:r>
          </w:p>
        </w:tc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9C2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  <w:lang w:val="pt-PT"/>
              </w:rPr>
              <w:t xml:space="preserve"> DA </w:t>
            </w: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  <w:lang w:val="de-DE"/>
              </w:rPr>
              <w:t xml:space="preserve"> NE</w:t>
            </w:r>
          </w:p>
        </w:tc>
      </w:tr>
      <w:tr w:rsidR="005E586B" w14:paraId="012CF4B8" w14:textId="77777777" w:rsidTr="004859D2">
        <w:trPr>
          <w:trHeight w:val="6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AB0D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Mjesto i vrijeme izvođenja nastave</w:t>
            </w:r>
          </w:p>
        </w:tc>
        <w:tc>
          <w:tcPr>
            <w:tcW w:w="28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E903" w14:textId="77777777" w:rsidR="005E586B" w:rsidRDefault="00000000">
            <w:pPr>
              <w:pStyle w:val="Tijelo"/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>Srijedom, 14</w:t>
            </w:r>
            <w:r>
              <w:rPr>
                <w:rFonts w:ascii="Merriweather Regular" w:hAnsi="Merriweather Regular"/>
                <w:sz w:val="16"/>
                <w:szCs w:val="16"/>
                <w:lang w:val="ru-RU"/>
              </w:rPr>
              <w:t>-1</w:t>
            </w:r>
            <w:r>
              <w:rPr>
                <w:rFonts w:ascii="Merriweather Regular" w:hAnsi="Merriweather Regular"/>
                <w:sz w:val="16"/>
                <w:szCs w:val="16"/>
              </w:rPr>
              <w:t>6 sati, dv. 113 (P)</w:t>
            </w:r>
          </w:p>
          <w:p w14:paraId="094E0963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Srijedom, 10</w:t>
            </w:r>
            <w:r>
              <w:rPr>
                <w:rFonts w:ascii="Merriweather Regular" w:hAnsi="Merriweather Regular"/>
                <w:sz w:val="16"/>
                <w:szCs w:val="16"/>
                <w:lang w:val="ru-RU"/>
              </w:rPr>
              <w:t>-1</w:t>
            </w:r>
            <w:r>
              <w:rPr>
                <w:rFonts w:ascii="Merriweather Regular" w:hAnsi="Merriweather Regular"/>
                <w:sz w:val="16"/>
                <w:szCs w:val="16"/>
              </w:rPr>
              <w:t>2 sati, dv. 114 (S)</w:t>
            </w:r>
          </w:p>
        </w:tc>
        <w:tc>
          <w:tcPr>
            <w:tcW w:w="2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C0A8" w14:textId="77777777" w:rsidR="005E586B" w:rsidRDefault="00000000">
            <w:pPr>
              <w:pStyle w:val="Tijelo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Jezik/jezici na kojima se izvodi kolegij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DAE85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hrvatski</w:t>
            </w:r>
          </w:p>
        </w:tc>
      </w:tr>
      <w:tr w:rsidR="005E586B" w14:paraId="62BC3014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E680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Početak nastave</w:t>
            </w:r>
          </w:p>
        </w:tc>
        <w:tc>
          <w:tcPr>
            <w:tcW w:w="28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840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8. 10. 2025.</w:t>
            </w:r>
          </w:p>
        </w:tc>
        <w:tc>
          <w:tcPr>
            <w:tcW w:w="2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6045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Završetak nastave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2103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21. 1. 2026.</w:t>
            </w:r>
          </w:p>
        </w:tc>
      </w:tr>
      <w:tr w:rsidR="005E586B" w14:paraId="02EE874C" w14:textId="77777777" w:rsidTr="004859D2">
        <w:trPr>
          <w:trHeight w:val="4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4DC0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Preduvjeti za upis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C9A7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upisan studij povijesti umjetnosti</w:t>
            </w:r>
          </w:p>
        </w:tc>
      </w:tr>
      <w:tr w:rsidR="005E586B" w14:paraId="27EB039F" w14:textId="77777777">
        <w:trPr>
          <w:trHeight w:val="210"/>
          <w:jc w:val="center"/>
        </w:trPr>
        <w:tc>
          <w:tcPr>
            <w:tcW w:w="905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2DB4" w14:textId="77777777" w:rsidR="005E586B" w:rsidRDefault="005E586B"/>
        </w:tc>
      </w:tr>
      <w:tr w:rsidR="005E586B" w14:paraId="53D35F70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6C233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Nositelj kolegija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51DC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doc. dr. sc. Meri Zornija</w:t>
            </w:r>
          </w:p>
        </w:tc>
      </w:tr>
      <w:tr w:rsidR="005E586B" w14:paraId="5EDE6776" w14:textId="77777777" w:rsidTr="004859D2">
        <w:trPr>
          <w:trHeight w:val="4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1BEF" w14:textId="77777777" w:rsidR="005E586B" w:rsidRDefault="00000000">
            <w:pPr>
              <w:pStyle w:val="Tijelo"/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E-mail</w:t>
            </w:r>
          </w:p>
        </w:tc>
        <w:tc>
          <w:tcPr>
            <w:tcW w:w="38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98E45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</w:pPr>
            <w:hyperlink r:id="rId7" w:history="1">
              <w:r>
                <w:rPr>
                  <w:rStyle w:val="Hyperlink0"/>
                  <w:rFonts w:ascii="Merriweather Regular" w:hAnsi="Merriweather Regular"/>
                  <w:sz w:val="16"/>
                  <w:szCs w:val="16"/>
                </w:rPr>
                <w:t>mezornija@unizd.hr</w:t>
              </w:r>
            </w:hyperlink>
          </w:p>
        </w:tc>
        <w:tc>
          <w:tcPr>
            <w:tcW w:w="1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BD0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Konzultacije</w:t>
            </w:r>
          </w:p>
        </w:tc>
        <w:tc>
          <w:tcPr>
            <w:tcW w:w="2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150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Četvrtkom, 15</w:t>
            </w:r>
            <w:r>
              <w:rPr>
                <w:rFonts w:ascii="Merriweather Regular" w:hAnsi="Merriweather Regular"/>
                <w:sz w:val="16"/>
                <w:szCs w:val="16"/>
                <w:lang w:val="ru-RU"/>
              </w:rPr>
              <w:t>-1</w:t>
            </w:r>
            <w:r>
              <w:rPr>
                <w:rFonts w:ascii="Merriweather Regular" w:hAnsi="Merriweather Regular"/>
                <w:sz w:val="16"/>
                <w:szCs w:val="16"/>
              </w:rPr>
              <w:t>6 sati ili mailom</w:t>
            </w:r>
          </w:p>
        </w:tc>
      </w:tr>
      <w:tr w:rsidR="005E586B" w14:paraId="3E85726F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4035F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Izvođač kolegija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2146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doc. dr. sc. Meri Zornija</w:t>
            </w:r>
          </w:p>
        </w:tc>
      </w:tr>
      <w:tr w:rsidR="005E586B" w14:paraId="589C6257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DCF3" w14:textId="77777777" w:rsidR="005E586B" w:rsidRDefault="00000000">
            <w:pPr>
              <w:pStyle w:val="Tijelo"/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E-mail</w:t>
            </w:r>
          </w:p>
        </w:tc>
        <w:tc>
          <w:tcPr>
            <w:tcW w:w="38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1AD5" w14:textId="77777777" w:rsidR="005E586B" w:rsidRDefault="005E586B"/>
        </w:tc>
        <w:tc>
          <w:tcPr>
            <w:tcW w:w="1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654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Konzultacije</w:t>
            </w:r>
          </w:p>
        </w:tc>
        <w:tc>
          <w:tcPr>
            <w:tcW w:w="2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01A2" w14:textId="77777777" w:rsidR="005E586B" w:rsidRDefault="005E586B"/>
        </w:tc>
      </w:tr>
      <w:tr w:rsidR="005E586B" w14:paraId="04829E0E" w14:textId="77777777" w:rsidTr="004859D2">
        <w:trPr>
          <w:trHeight w:val="4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902E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Suradnici na kolegiju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8EFC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pt-PT"/>
              </w:rPr>
              <w:t xml:space="preserve">Antonela </w:t>
            </w:r>
            <w:r>
              <w:rPr>
                <w:rFonts w:ascii="Merriweather Regular" w:hAnsi="Merriweather Regular"/>
                <w:sz w:val="16"/>
                <w:szCs w:val="16"/>
              </w:rPr>
              <w:t>Čelan, mag. hist. art.</w:t>
            </w:r>
          </w:p>
        </w:tc>
      </w:tr>
      <w:tr w:rsidR="005E586B" w14:paraId="0A7DAAB0" w14:textId="77777777" w:rsidTr="004859D2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2886" w14:textId="77777777" w:rsidR="005E586B" w:rsidRDefault="00000000">
            <w:pPr>
              <w:pStyle w:val="Tijelo"/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E-mail</w:t>
            </w:r>
          </w:p>
        </w:tc>
        <w:tc>
          <w:tcPr>
            <w:tcW w:w="38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D6150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</w:pPr>
            <w:hyperlink r:id="rId8" w:history="1">
              <w:r>
                <w:rPr>
                  <w:rStyle w:val="Hyperlink1"/>
                  <w:rFonts w:ascii="Merriweather Regular" w:hAnsi="Merriweather Regular"/>
                  <w:sz w:val="16"/>
                  <w:szCs w:val="16"/>
                </w:rPr>
                <w:t>acelan@unizd.hr</w:t>
              </w:r>
            </w:hyperlink>
            <w:r w:rsidR="00000000">
              <w:rPr>
                <w:rFonts w:ascii="Merriweather Regular" w:hAnsi="Merriweather Regular"/>
                <w:sz w:val="16"/>
                <w:szCs w:val="16"/>
              </w:rPr>
              <w:t xml:space="preserve"> </w:t>
            </w:r>
          </w:p>
        </w:tc>
        <w:tc>
          <w:tcPr>
            <w:tcW w:w="1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229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Konzultacije</w:t>
            </w:r>
          </w:p>
        </w:tc>
        <w:tc>
          <w:tcPr>
            <w:tcW w:w="2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ABD5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Srijedom, 12</w:t>
            </w:r>
            <w:r>
              <w:rPr>
                <w:rFonts w:ascii="Merriweather Regular" w:hAnsi="Merriweather Regular"/>
                <w:sz w:val="16"/>
                <w:szCs w:val="16"/>
                <w:lang w:val="ru-RU"/>
              </w:rPr>
              <w:t>-1</w:t>
            </w:r>
            <w:r>
              <w:rPr>
                <w:rFonts w:ascii="Merriweather Regular" w:hAnsi="Merriweather Regular"/>
                <w:sz w:val="16"/>
                <w:szCs w:val="16"/>
              </w:rPr>
              <w:t>3</w:t>
            </w:r>
            <w:r>
              <w:rPr>
                <w:rFonts w:ascii="Merriweather Regular" w:hAnsi="Merriweather Regular"/>
                <w:sz w:val="16"/>
                <w:szCs w:val="16"/>
                <w:lang w:val="fr-FR"/>
              </w:rPr>
              <w:t xml:space="preserve"> sati</w:t>
            </w:r>
          </w:p>
        </w:tc>
      </w:tr>
      <w:tr w:rsidR="005E586B" w14:paraId="2132B3D1" w14:textId="77777777">
        <w:trPr>
          <w:trHeight w:val="210"/>
          <w:jc w:val="center"/>
        </w:trPr>
        <w:tc>
          <w:tcPr>
            <w:tcW w:w="905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E8BF" w14:textId="77777777" w:rsidR="005E586B" w:rsidRDefault="005E586B"/>
        </w:tc>
      </w:tr>
      <w:tr w:rsidR="005E586B" w14:paraId="27C503EE" w14:textId="77777777" w:rsidTr="004859D2">
        <w:trPr>
          <w:trHeight w:val="410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916E5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Vrste izvođenja nastave</w:t>
            </w:r>
          </w:p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00AF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predavanja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3D7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seminari i radionice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BCE0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vježbe</w:t>
            </w:r>
          </w:p>
        </w:tc>
        <w:tc>
          <w:tcPr>
            <w:tcW w:w="1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A77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AB43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terenska nastava</w:t>
            </w:r>
          </w:p>
        </w:tc>
      </w:tr>
      <w:tr w:rsidR="005E586B" w14:paraId="3AFAAD2C" w14:textId="77777777" w:rsidTr="004859D2">
        <w:trPr>
          <w:trHeight w:val="4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48C17" w14:textId="77777777" w:rsidR="005E586B" w:rsidRDefault="005E586B"/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F24E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samostalni zadaci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5D8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multimedija i mreža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BD2F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laboratorij</w:t>
            </w:r>
          </w:p>
        </w:tc>
        <w:tc>
          <w:tcPr>
            <w:tcW w:w="1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84BB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mentorski rad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E193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ostalo</w:t>
            </w:r>
          </w:p>
        </w:tc>
      </w:tr>
      <w:tr w:rsidR="005E586B" w14:paraId="6CE35E26" w14:textId="77777777" w:rsidTr="004859D2">
        <w:trPr>
          <w:trHeight w:val="1450"/>
          <w:jc w:val="center"/>
        </w:trPr>
        <w:tc>
          <w:tcPr>
            <w:tcW w:w="3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486D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Ishodi učenja kolegija</w:t>
            </w:r>
          </w:p>
        </w:tc>
        <w:tc>
          <w:tcPr>
            <w:tcW w:w="60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567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Fonts w:ascii="Merriweather Regular" w:hAnsi="Merriweather Regular"/>
                <w:sz w:val="16"/>
                <w:szCs w:val="16"/>
                <w:u w:color="FF0000"/>
                <w:lang w:val="en-US"/>
              </w:rPr>
              <w:t>- Kritičko razumijevanje važnih fenomena  i prepoznavanje temeljnih djela likovnih umjetnosti i arhitekture;</w:t>
            </w:r>
          </w:p>
          <w:p w14:paraId="4ACED70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Fonts w:ascii="Merriweather Regular" w:hAnsi="Merriweather Regular"/>
                <w:sz w:val="16"/>
                <w:szCs w:val="16"/>
                <w:u w:color="FF0000"/>
                <w:lang w:val="en-US"/>
              </w:rPr>
              <w:t>- Identificiranje temeljnih karakteristika stila razdoblja i njihovo komentiranje putem korištenja ilustrativnog materijala;</w:t>
            </w:r>
          </w:p>
          <w:p w14:paraId="7C1C833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u w:color="FF0000"/>
                <w:lang w:val="en-US"/>
              </w:rPr>
              <w:t xml:space="preserve">- Osposobljavanje za samostalnu pripremu i prezentiranje teme na pismeni i usmeni način prema postulatima povijesnoumjetničke  metodologije.  </w:t>
            </w:r>
          </w:p>
        </w:tc>
      </w:tr>
      <w:tr w:rsidR="005E586B" w14:paraId="121B19F1" w14:textId="77777777" w:rsidTr="004859D2">
        <w:trPr>
          <w:trHeight w:val="810"/>
          <w:jc w:val="center"/>
        </w:trPr>
        <w:tc>
          <w:tcPr>
            <w:tcW w:w="3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FD16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60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1A1D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u w:color="FF0000"/>
                <w:lang w:val="en-US"/>
              </w:rPr>
              <w:t>- Kritički definirati kontekst nastanka umjetničkih djela i pojava te prepoznati i provesti analogije, sličnosti i razlike među pojedinim umjetninama i uklopiti ih u određeni vremenski, društveni i kulturni kontekst.</w:t>
            </w:r>
          </w:p>
        </w:tc>
      </w:tr>
      <w:tr w:rsidR="005E586B" w14:paraId="18FEBE11" w14:textId="77777777">
        <w:trPr>
          <w:trHeight w:val="210"/>
          <w:jc w:val="center"/>
        </w:trPr>
        <w:tc>
          <w:tcPr>
            <w:tcW w:w="905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DBB0" w14:textId="77777777" w:rsidR="005E586B" w:rsidRDefault="005E586B"/>
        </w:tc>
      </w:tr>
      <w:tr w:rsidR="005E586B" w14:paraId="68CF0555" w14:textId="77777777" w:rsidTr="004859D2">
        <w:trPr>
          <w:trHeight w:val="410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E3E74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Načini praćenja studenata</w:t>
            </w:r>
          </w:p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EF5C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pohađanje nastave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6D2A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priprema za nastavu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BBC2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  <w:lang w:val="it-IT"/>
              </w:rPr>
              <w:t xml:space="preserve"> doma</w:t>
            </w:r>
            <w:r>
              <w:rPr>
                <w:rFonts w:ascii="Merriweather Regular" w:hAnsi="Merriweather Regular"/>
                <w:sz w:val="16"/>
                <w:szCs w:val="16"/>
              </w:rPr>
              <w:t>će zadaće</w:t>
            </w:r>
          </w:p>
        </w:tc>
        <w:tc>
          <w:tcPr>
            <w:tcW w:w="1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D6D6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A9E1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istraživanje</w:t>
            </w:r>
          </w:p>
        </w:tc>
      </w:tr>
      <w:tr w:rsidR="005E586B" w14:paraId="37B3E3E9" w14:textId="77777777" w:rsidTr="004859D2">
        <w:trPr>
          <w:trHeight w:val="6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C8430" w14:textId="77777777" w:rsidR="005E586B" w:rsidRDefault="005E586B"/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81E6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praktični rad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202C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eksperimentalni rad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20F3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izlaganje</w:t>
            </w:r>
          </w:p>
        </w:tc>
        <w:tc>
          <w:tcPr>
            <w:tcW w:w="1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FB42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projekt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E6AC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  <w:lang w:val="it-IT"/>
              </w:rPr>
              <w:t xml:space="preserve"> seminar</w:t>
            </w:r>
          </w:p>
        </w:tc>
      </w:tr>
      <w:tr w:rsidR="005E586B" w14:paraId="00A9F410" w14:textId="77777777" w:rsidTr="004859D2">
        <w:trPr>
          <w:trHeight w:val="2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B2648" w14:textId="77777777" w:rsidR="005E586B" w:rsidRDefault="005E586B"/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85A5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kolokvij(i)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DBE2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pismeni ispit</w:t>
            </w:r>
          </w:p>
        </w:tc>
        <w:tc>
          <w:tcPr>
            <w:tcW w:w="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59BC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66D4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ostalo:</w:t>
            </w:r>
          </w:p>
        </w:tc>
      </w:tr>
      <w:tr w:rsidR="005E586B" w14:paraId="4CB255F0" w14:textId="77777777" w:rsidTr="004859D2">
        <w:trPr>
          <w:trHeight w:val="8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CC0D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Uvjeti pristupanja ispitu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4D81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Studenti su dužni odslušati najmanje 70% predavanja, te sudjelovati u radu i diskusiji na najmanje 70% seminara (u slučaju kolizije 40% predavanja i 40% seminara). Također, dužni su izraditi seminarski rad u pismenom obliku, te ga prezentirati u vidu usmenog izlaganja (najmanje 15 minuta trajanja).</w:t>
            </w:r>
          </w:p>
        </w:tc>
      </w:tr>
      <w:tr w:rsidR="005E586B" w14:paraId="7614B8AB" w14:textId="77777777" w:rsidTr="00511994">
        <w:trPr>
          <w:trHeight w:val="2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B21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Ispitni rokovi</w:t>
            </w:r>
          </w:p>
        </w:tc>
        <w:tc>
          <w:tcPr>
            <w:tcW w:w="3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8681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zimski ispitni rok </w:t>
            </w:r>
          </w:p>
        </w:tc>
        <w:tc>
          <w:tcPr>
            <w:tcW w:w="2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E95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ljetni ispitni rok</w:t>
            </w:r>
          </w:p>
        </w:tc>
        <w:tc>
          <w:tcPr>
            <w:tcW w:w="2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5DD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jesenski ispitni rok</w:t>
            </w:r>
          </w:p>
        </w:tc>
      </w:tr>
      <w:tr w:rsidR="005E586B" w14:paraId="6362A33B" w14:textId="77777777" w:rsidTr="00511994">
        <w:trPr>
          <w:trHeight w:val="4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7C99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Termini ispitnih rokova</w:t>
            </w:r>
          </w:p>
        </w:tc>
        <w:tc>
          <w:tcPr>
            <w:tcW w:w="3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B273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bit će objavljeni na webu</w:t>
            </w:r>
          </w:p>
        </w:tc>
        <w:tc>
          <w:tcPr>
            <w:tcW w:w="2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E0D0" w14:textId="77777777" w:rsidR="005E586B" w:rsidRDefault="005E586B"/>
        </w:tc>
        <w:tc>
          <w:tcPr>
            <w:tcW w:w="2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848E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bit će objavljeni na webu</w:t>
            </w:r>
          </w:p>
        </w:tc>
      </w:tr>
      <w:tr w:rsidR="005E586B" w14:paraId="3D5028EA" w14:textId="77777777" w:rsidTr="004859D2">
        <w:trPr>
          <w:trHeight w:val="43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074B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Termini kolokvija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A190" w14:textId="77777777" w:rsidR="005E586B" w:rsidRDefault="00000000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>kolokvij: u studenom</w:t>
            </w:r>
          </w:p>
          <w:p w14:paraId="6E1BD891" w14:textId="77777777" w:rsidR="005E586B" w:rsidRDefault="00000000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>kolokvij: u prosincu</w:t>
            </w:r>
          </w:p>
        </w:tc>
      </w:tr>
      <w:tr w:rsidR="005E586B" w14:paraId="51D82ACF" w14:textId="77777777" w:rsidTr="004859D2">
        <w:trPr>
          <w:trHeight w:val="6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E64C3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Opis kolegija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C58D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Stjecanje temeljnih činjeničnih i teorijskih spoznaja o umjetnosti drevnih civilizacija Bliskog Istoka (Mezopotamija, Perzija), dinastijskog Egipta, egejskih civilizacija brončanog doba (Kikladi, Kreta, Mikena) te o umjetnosti antičke Grčke.</w:t>
            </w:r>
          </w:p>
        </w:tc>
      </w:tr>
      <w:tr w:rsidR="005E586B" w14:paraId="4B01CC8D" w14:textId="77777777" w:rsidTr="004859D2">
        <w:trPr>
          <w:trHeight w:val="845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1BB7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377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UMJETNOST DREVNIH CIVILIZACIJA BLISKOG ISTOKA</w:t>
            </w:r>
          </w:p>
          <w:p w14:paraId="2BE8819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01.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Uvodni dio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: povijesne i društvene okolnosti razvoja umjetničkog izražavanja kod čovjeka; nastanak prvih prapovijesnih umjetničkih djela  </w:t>
            </w:r>
          </w:p>
          <w:p w14:paraId="11BF524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Mezopotamija - Sumersko-akadska država: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arhitektura - zigurati; pregled umjetničkih rukotvorina: figuralna plastika, skulptura, zlatarstvo u nalazištima (Uruk, Ur, Lagaš).</w:t>
            </w:r>
          </w:p>
          <w:p w14:paraId="73C3FC8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02.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Mezopotamija II. Asirsko carstvo: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arhitektura, kiparstvo, reljefna dekoracija; </w:t>
            </w:r>
          </w:p>
          <w:p w14:paraId="40BCA51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Babilonsko carstvo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u doba Hamurabija i Nabukodonosora; </w:t>
            </w:r>
          </w:p>
          <w:p w14:paraId="2016EEA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Perzijsko (Ahemenidsko) carstvo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arhitektura, kiparstvo, reljefi</w:t>
            </w:r>
          </w:p>
          <w:p w14:paraId="2ACD4698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UMJETNOST DINASTIJSKOG EGIPTA</w:t>
            </w:r>
          </w:p>
          <w:p w14:paraId="201A0039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03. Uvod u egipatsku umjetnost: zemljopisni položaj, istraživanja, kronologija. </w:t>
            </w:r>
          </w:p>
          <w:p w14:paraId="20875DB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Umjetnost i arhitektura u doba Ujedinjenja, Stare i Srednje države</w:t>
            </w:r>
          </w:p>
          <w:p w14:paraId="04238C4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04.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Umjetnost i arhitektura u doba Nove države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- 18.-20. dinastija</w:t>
            </w:r>
          </w:p>
          <w:p w14:paraId="62CA36B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UMJETNOST EGEJSKIH CIVILIZACIJA BRONČANOG DOBA</w:t>
            </w:r>
          </w:p>
          <w:p w14:paraId="02A30FE3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05. Prirodni i zemljopisni položaj Grčke i šireg prostora Egeje; povijest istraživanja i pregled otkrića najvažnijih lokaliteta.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Egejska kronologija: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podjela na kikladsko, kretsko i mikensko razdoblje.</w:t>
            </w:r>
          </w:p>
          <w:p w14:paraId="44A52A6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Kikladska kultura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sitna figuralna plastika (kikladski idoli), zidno slikarstvo otoka There</w:t>
            </w:r>
          </w:p>
          <w:p w14:paraId="0F59122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Kretska (minojska) kultura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arhitektura gradova-palača (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lang w:val="en-US"/>
              </w:rPr>
              <w:t>Knossos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lang w:val="en-US"/>
              </w:rPr>
              <w:t>Phaistos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lang w:val="en-US"/>
              </w:rPr>
              <w:t>Haghia Triada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) i</w:t>
            </w:r>
          </w:p>
          <w:p w14:paraId="671962D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umjetnost (keramički stilovi, zidno slikarstvo)</w:t>
            </w:r>
          </w:p>
          <w:p w14:paraId="53F2A12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06.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Mikenska (heladska) kultura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arhitektura - mikenske kraljevske citadele, tipovi  grobnica: kraljevski grobni krugovi, tolosi; slikarstvo na vazama, zidno slikarstvo, zlatarski proizvodi (Mikena, Tirint i dr.)</w:t>
            </w:r>
          </w:p>
          <w:p w14:paraId="1E1E6D4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UMJETNOST ANTIČKE GRČKE</w:t>
            </w:r>
          </w:p>
          <w:p w14:paraId="10540C0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07.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Geometrijski i orijentalizirajući stil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arhitektura, slikarstvo na vazama.</w:t>
            </w:r>
          </w:p>
          <w:p w14:paraId="035E0EF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Podjela i kronologija arhajskog razdoblja</w:t>
            </w:r>
          </w:p>
          <w:p w14:paraId="4A7193F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08.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 xml:space="preserve">Grčko arhajsko slikarstvo na vazama </w:t>
            </w:r>
          </w:p>
          <w:p w14:paraId="024744D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Grčka arhajska skulptura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kourosi i kore</w:t>
            </w:r>
          </w:p>
          <w:p w14:paraId="03282C6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09.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Grčka arhajska arhitektura i arhitektonska skulptura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(Delfi)</w:t>
            </w:r>
          </w:p>
          <w:p w14:paraId="373CCF9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10.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Umjetnost Velike Grčke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u w:val="single"/>
                <w:lang w:val="en-US"/>
              </w:rPr>
              <w:t xml:space="preserve"> 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(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lang w:val="en-US"/>
              </w:rPr>
              <w:t>Magna Graecia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)</w:t>
            </w:r>
          </w:p>
          <w:p w14:paraId="32F42EE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11. Podjela i kronologija klasičnog doba:</w:t>
            </w:r>
          </w:p>
          <w:p w14:paraId="5CB88426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Rano klasično doba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u w:val="single"/>
                <w:lang w:val="en-US"/>
              </w:rPr>
              <w:t xml:space="preserve"> 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ili strogi stil: arhitektura (Olimpija) i kiparstvo (Miron)</w:t>
            </w:r>
          </w:p>
          <w:p w14:paraId="2DB2880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12.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Zrelo klasično doba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Atenska akropola. Fidija i njegova škola, Poliklet</w:t>
            </w:r>
          </w:p>
          <w:p w14:paraId="3519A021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13. Ostala važna grčka svetišta (Eleuzina, Epidaur, Tegeja, Efez)</w:t>
            </w:r>
          </w:p>
          <w:p w14:paraId="3320EA2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Kasno klasično doba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arhitektura, kiparstvo (lijepi stil): Praksitel, Skopas, Lizip</w:t>
            </w:r>
          </w:p>
          <w:p w14:paraId="10C4B889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14. Grčka i svijet helenizma: podjela i kronologija helenizma </w:t>
            </w:r>
          </w:p>
          <w:p w14:paraId="65E820B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Umjetnost u doba Aleksandra Makedonskog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(Pella, Vergina) </w:t>
            </w:r>
          </w:p>
          <w:p w14:paraId="153C9248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Rani helenizam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(Mauzolej u Halikarnasu)</w:t>
            </w:r>
          </w:p>
          <w:p w14:paraId="4FC4A0A8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15.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Srednji helenizam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(Pergamski žrtvenik, Pergamska i Rodska kiparska škola)</w:t>
            </w:r>
          </w:p>
          <w:p w14:paraId="4554385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Kasni helenizam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: arhitektura i kiparstvo</w:t>
            </w:r>
          </w:p>
        </w:tc>
      </w:tr>
      <w:tr w:rsidR="005E586B" w14:paraId="1C2BD256" w14:textId="77777777" w:rsidTr="004859D2">
        <w:trPr>
          <w:trHeight w:val="191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157E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Obvezna literatura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3533" w14:textId="77777777" w:rsidR="005E586B" w:rsidRDefault="00000000">
            <w:pPr>
              <w:pStyle w:val="Tijelo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H. W. Janson/A. F. Janson,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Povijest umjetnosti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Varaždin, 2005. (str. 44-109, 110-223)</w:t>
            </w:r>
          </w:p>
          <w:p w14:paraId="516FC8BB" w14:textId="77777777" w:rsidR="005E586B" w:rsidRDefault="00000000">
            <w:pPr>
              <w:pStyle w:val="Tijelo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Drevne civilizacije. Velike kulture svijeta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(prir. F. Bourbon), Zagreb, 2009. (podnaslovi: Knos, Atena, Mikena, Paestum; Saqqara i Giza, Karnak, Luxor, Zapadna Teba, Nubijski hramovi, Abu Simbel, Philae; Babilon, Ur, Perzepolis)</w:t>
            </w:r>
          </w:p>
          <w:p w14:paraId="48749AA8" w14:textId="77777777" w:rsidR="005E586B" w:rsidRDefault="00000000">
            <w:pPr>
              <w:pStyle w:val="Tijelo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Iščezle civilizacije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Zagreb, 2009. (podnaslovi: Saqqara, Ur, Knos, Mikena, Amarna, Niniva, Babilon, Perzepolis, Olimpija, Del)</w:t>
            </w:r>
          </w:p>
          <w:p w14:paraId="3C5DE803" w14:textId="77777777" w:rsidR="005E586B" w:rsidRDefault="00000000">
            <w:pPr>
              <w:pStyle w:val="Tijelo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C. J. Du Ry,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Narodi drevnog Istoka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Rijeka, 1970.</w:t>
            </w:r>
          </w:p>
          <w:p w14:paraId="799A91C7" w14:textId="77777777" w:rsidR="005E586B" w:rsidRDefault="00000000">
            <w:pPr>
              <w:pStyle w:val="Tijelo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W. Westendorf,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Drevni Egipat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Rijeka, 1969.</w:t>
            </w:r>
          </w:p>
          <w:p w14:paraId="39D78591" w14:textId="77777777" w:rsidR="005E586B" w:rsidRDefault="00000000">
            <w:pPr>
              <w:pStyle w:val="Tijelo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J. Boardman,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Greek Art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London, 2012.</w:t>
            </w:r>
          </w:p>
        </w:tc>
      </w:tr>
      <w:tr w:rsidR="005E586B" w14:paraId="6E563B12" w14:textId="77777777" w:rsidTr="004859D2">
        <w:trPr>
          <w:trHeight w:val="215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EBBB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 xml:space="preserve">Dodatna literatura 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05181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A. Siliotti,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Egipat: hramovi, ljudi i bogovi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Zagreb, 1999.</w:t>
            </w:r>
          </w:p>
          <w:p w14:paraId="3DD3A345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J. Malek,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Egyptian art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Phaidon, 2011.</w:t>
            </w:r>
          </w:p>
          <w:p w14:paraId="7B2B6CFF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F. Durando,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Drevna Grčka, zora zapada,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 Zagreb, 1999.</w:t>
            </w:r>
          </w:p>
          <w:p w14:paraId="4C017829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J. M. Barringer,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The art and archaeology of ancient Greece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Cambridge University Press, 2014.</w:t>
            </w:r>
          </w:p>
          <w:p w14:paraId="6F6B8ABE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J. Boardman,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Greek Sculpture. The Archaic Period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London, 1995.</w:t>
            </w:r>
          </w:p>
          <w:p w14:paraId="0BB690AA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J. Boardman,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Greek Sculpture. The Classical Period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London, 1985.</w:t>
            </w:r>
          </w:p>
          <w:p w14:paraId="75D88420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A. Juric,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Grčka - od mitova do antičkih spomenika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Rijeka, 2001. (str. 11-66, 139-216, 219-282, 324-387, 424-453, 480-488)</w:t>
            </w:r>
          </w:p>
          <w:p w14:paraId="0E51AC93" w14:textId="77777777" w:rsidR="005E586B" w:rsidRDefault="00000000">
            <w:pPr>
              <w:pStyle w:val="Tijelo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R. R. R. Smith, </w:t>
            </w:r>
            <w:r>
              <w:rPr>
                <w:rFonts w:ascii="Merriweather Bold" w:hAnsi="Merriweather Bold"/>
                <w:sz w:val="16"/>
                <w:szCs w:val="16"/>
                <w:lang w:val="en-US"/>
              </w:rPr>
              <w:t>Hellenistic Sculpture</w:t>
            </w: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, London, 1991.</w:t>
            </w:r>
          </w:p>
        </w:tc>
      </w:tr>
      <w:tr w:rsidR="005E586B" w14:paraId="4AD23BCF" w14:textId="77777777" w:rsidTr="004859D2">
        <w:trPr>
          <w:trHeight w:val="87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5202A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FEA90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hyperlink r:id="rId9" w:history="1">
              <w:r>
                <w:rPr>
                  <w:rStyle w:val="Hyperlink0"/>
                  <w:rFonts w:ascii="Merriweather Regular" w:hAnsi="Merriweather Regular"/>
                  <w:sz w:val="16"/>
                  <w:szCs w:val="16"/>
                </w:rPr>
                <w:t>http://arthistoryresources.net/ARTHLinks.html</w:t>
              </w:r>
            </w:hyperlink>
          </w:p>
          <w:p w14:paraId="58E6612A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hyperlink r:id="rId10" w:history="1">
              <w:r>
                <w:rPr>
                  <w:rStyle w:val="Hyperlink0"/>
                  <w:rFonts w:ascii="Merriweather Regular" w:hAnsi="Merriweather Regular"/>
                  <w:sz w:val="16"/>
                  <w:szCs w:val="16"/>
                </w:rPr>
                <w:t>https://www.ancient.eu/explore/8/</w:t>
              </w:r>
            </w:hyperlink>
          </w:p>
          <w:p w14:paraId="192A73B5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hyperlink r:id="rId11" w:history="1">
              <w:r>
                <w:rPr>
                  <w:rStyle w:val="Hyperlink0"/>
                  <w:rFonts w:ascii="Merriweather Regular" w:hAnsi="Merriweather Regular"/>
                  <w:sz w:val="16"/>
                  <w:szCs w:val="16"/>
                </w:rPr>
                <w:t>http://www.livius.org</w:t>
              </w:r>
            </w:hyperlink>
          </w:p>
          <w:p w14:paraId="0CA5AC5E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</w:pPr>
            <w:hyperlink r:id="rId12" w:history="1">
              <w:r>
                <w:rPr>
                  <w:rStyle w:val="Hyperlink0"/>
                  <w:rFonts w:ascii="Merriweather Regular" w:hAnsi="Merriweather Regular"/>
                  <w:sz w:val="16"/>
                  <w:szCs w:val="16"/>
                </w:rPr>
                <w:t>https://www.ancient-greece.org/index.html</w:t>
              </w:r>
            </w:hyperlink>
          </w:p>
        </w:tc>
      </w:tr>
      <w:tr w:rsidR="005E586B" w14:paraId="6FBA10CC" w14:textId="77777777" w:rsidTr="004859D2">
        <w:trPr>
          <w:trHeight w:val="210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4DBC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Provjera ishoda učenja (prema uputama AZVO)</w:t>
            </w:r>
          </w:p>
        </w:tc>
        <w:tc>
          <w:tcPr>
            <w:tcW w:w="59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27D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Samo završni ispit</w:t>
            </w: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8D50" w14:textId="77777777" w:rsidR="005E586B" w:rsidRDefault="005E586B"/>
        </w:tc>
      </w:tr>
      <w:tr w:rsidR="005E586B" w14:paraId="49215B6A" w14:textId="77777777" w:rsidTr="004859D2">
        <w:trPr>
          <w:trHeight w:val="43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3610A" w14:textId="77777777" w:rsidR="005E586B" w:rsidRDefault="005E586B"/>
        </w:tc>
        <w:tc>
          <w:tcPr>
            <w:tcW w:w="2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E8B14" w14:textId="77777777" w:rsidR="005E586B" w:rsidRDefault="00000000">
            <w:pPr>
              <w:pStyle w:val="Tijelo"/>
              <w:widowControl w:val="0"/>
              <w:spacing w:before="20" w:after="20"/>
              <w:jc w:val="center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završni</w:t>
            </w:r>
          </w:p>
          <w:p w14:paraId="783A8549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pismeni ispit</w:t>
            </w:r>
          </w:p>
        </w:tc>
        <w:tc>
          <w:tcPr>
            <w:tcW w:w="2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827A5" w14:textId="77777777" w:rsidR="005E586B" w:rsidRDefault="00000000">
            <w:pPr>
              <w:pStyle w:val="Tijelo"/>
              <w:widowControl w:val="0"/>
              <w:spacing w:before="20" w:after="20"/>
              <w:jc w:val="center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završni</w:t>
            </w:r>
          </w:p>
          <w:p w14:paraId="51B5D4F5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usmeni ispit</w:t>
            </w: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7AA1F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pismeni i usmeni završni ispit</w:t>
            </w: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64F69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praktični rad i završni ispit</w:t>
            </w:r>
          </w:p>
        </w:tc>
      </w:tr>
      <w:tr w:rsidR="005E586B" w14:paraId="3C64C22F" w14:textId="77777777" w:rsidTr="004859D2">
        <w:trPr>
          <w:trHeight w:val="123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CDD7B" w14:textId="77777777" w:rsidR="005E586B" w:rsidRDefault="005E586B"/>
        </w:tc>
        <w:tc>
          <w:tcPr>
            <w:tcW w:w="1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987B5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samo kolokvij/zadaće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8044B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kolokvij / zadaća i završni ispit</w:t>
            </w:r>
          </w:p>
        </w:tc>
        <w:tc>
          <w:tcPr>
            <w:tcW w:w="1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98D68" w14:textId="77777777" w:rsidR="005E586B" w:rsidRDefault="00000000">
            <w:pPr>
              <w:pStyle w:val="Tijelo"/>
              <w:widowControl w:val="0"/>
              <w:spacing w:before="20" w:after="20"/>
              <w:jc w:val="center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seminarski</w:t>
            </w:r>
          </w:p>
          <w:p w14:paraId="32F2B8A8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rad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2D1C3" w14:textId="77777777" w:rsidR="005E586B" w:rsidRDefault="00000000">
            <w:pPr>
              <w:pStyle w:val="Tijelo"/>
              <w:widowControl w:val="0"/>
              <w:spacing w:before="20" w:after="20"/>
              <w:jc w:val="center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seminarski</w:t>
            </w:r>
          </w:p>
          <w:p w14:paraId="1555D952" w14:textId="77777777" w:rsidR="005E586B" w:rsidRDefault="00000000">
            <w:pPr>
              <w:pStyle w:val="Tijelo"/>
              <w:widowControl w:val="0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rad i završni ispit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ECA1A" w14:textId="77777777" w:rsidR="005E586B" w:rsidRDefault="00000000">
            <w:pPr>
              <w:pStyle w:val="Tijelo"/>
              <w:widowControl w:val="0"/>
              <w:tabs>
                <w:tab w:val="center" w:pos="759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praktični rad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FA79" w14:textId="77777777" w:rsidR="005E586B" w:rsidRDefault="00000000">
            <w:pPr>
              <w:pStyle w:val="Tijelo"/>
              <w:widowControl w:val="0"/>
              <w:tabs>
                <w:tab w:val="center" w:pos="759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drugi oblici</w:t>
            </w:r>
          </w:p>
        </w:tc>
      </w:tr>
      <w:tr w:rsidR="005E586B" w14:paraId="398B0BAA" w14:textId="77777777" w:rsidTr="004859D2">
        <w:trPr>
          <w:trHeight w:val="203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50D5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Način formiranja završne ocjene (%)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BA0F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>Studenti tijekom semestra mogu pristupiti dvama kolokvijima koji će obuhvatiti dio građe kolegija, a održat će se u pismenom obliku s pitanjima koja zahtijevaju nešto opširnije opisne odgovore. Uspješnim polaganjem s najmanje 60% bodova studenti se u potpunosti oslobađaju obveze polaganja tog dijela nastavne građe na završnom ispitu kolegija (ukoliko prihvaćaju postignuti rezultat). Izlazak na kolokvij nije obavezan.</w:t>
            </w:r>
          </w:p>
          <w:p w14:paraId="74DC112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  <w:lang w:val="en-US"/>
              </w:rPr>
              <w:t xml:space="preserve">Temeljni način provjere znanja predstavlja završni ispit koji se izvodi u pismenom i usmenom obliku. Na pismenom ispitu od studenta se zahtijevaju kraći tekstualni odgovori, a potrebno je postići najmanje 60% od ukupnog postotka bodova kako bi se pristupilo usmenom dijelu ispita. Usmeni ispit služi u svrhu formiranja konačne ocjene prema omjeru: </w:t>
            </w:r>
            <w:r>
              <w:rPr>
                <w:rFonts w:ascii="Merriweather Regular" w:hAnsi="Merriweather Regular"/>
                <w:sz w:val="16"/>
                <w:szCs w:val="16"/>
                <w:u w:val="single"/>
                <w:lang w:val="en-US"/>
              </w:rPr>
              <w:t>33% prvi kolokvij, 33% drugi kolokvij, 33% završni ispit.</w:t>
            </w:r>
          </w:p>
        </w:tc>
      </w:tr>
      <w:tr w:rsidR="005E586B" w14:paraId="7D6FE574" w14:textId="77777777" w:rsidTr="004859D2">
        <w:trPr>
          <w:trHeight w:val="210"/>
          <w:jc w:val="center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5466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1862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Manje od 60%</w:t>
            </w:r>
          </w:p>
        </w:tc>
        <w:tc>
          <w:tcPr>
            <w:tcW w:w="616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4496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% nedovoljan (1)</w:t>
            </w:r>
          </w:p>
        </w:tc>
      </w:tr>
      <w:tr w:rsidR="005E586B" w14:paraId="01D9CB02" w14:textId="77777777" w:rsidTr="004859D2">
        <w:trPr>
          <w:trHeight w:val="2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27D77" w14:textId="77777777" w:rsidR="005E586B" w:rsidRDefault="005E586B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0E7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60-70%</w:t>
            </w:r>
          </w:p>
        </w:tc>
        <w:tc>
          <w:tcPr>
            <w:tcW w:w="616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C4CC3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% dovoljan (2)</w:t>
            </w:r>
          </w:p>
        </w:tc>
      </w:tr>
      <w:tr w:rsidR="005E586B" w14:paraId="0550B6BD" w14:textId="77777777" w:rsidTr="004859D2">
        <w:trPr>
          <w:trHeight w:val="2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4DAA13" w14:textId="77777777" w:rsidR="005E586B" w:rsidRDefault="005E586B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2640A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70-80%</w:t>
            </w:r>
          </w:p>
        </w:tc>
        <w:tc>
          <w:tcPr>
            <w:tcW w:w="616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8289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% dobar (3)</w:t>
            </w:r>
          </w:p>
        </w:tc>
      </w:tr>
      <w:tr w:rsidR="005E586B" w14:paraId="26AFA8A3" w14:textId="77777777" w:rsidTr="004859D2">
        <w:trPr>
          <w:trHeight w:val="2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F1288" w14:textId="77777777" w:rsidR="005E586B" w:rsidRDefault="005E586B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6A2C8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80-90%</w:t>
            </w:r>
          </w:p>
        </w:tc>
        <w:tc>
          <w:tcPr>
            <w:tcW w:w="616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F8F0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% vrlo dobar (4)</w:t>
            </w:r>
          </w:p>
        </w:tc>
      </w:tr>
      <w:tr w:rsidR="005E586B" w14:paraId="39A13459" w14:textId="77777777" w:rsidTr="004859D2">
        <w:trPr>
          <w:trHeight w:val="210"/>
          <w:jc w:val="center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5308F" w14:textId="77777777" w:rsidR="005E586B" w:rsidRDefault="005E586B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4B264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90-100%</w:t>
            </w:r>
          </w:p>
        </w:tc>
        <w:tc>
          <w:tcPr>
            <w:tcW w:w="616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C9B5E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% izvrstan (5)</w:t>
            </w:r>
          </w:p>
        </w:tc>
      </w:tr>
      <w:tr w:rsidR="005E586B" w14:paraId="3E0C3765" w14:textId="77777777" w:rsidTr="004859D2">
        <w:trPr>
          <w:trHeight w:val="129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13F1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Nač</w:t>
            </w:r>
            <w:r>
              <w:rPr>
                <w:rFonts w:ascii="Merriweather Bold" w:hAnsi="Merriweather Bold"/>
                <w:sz w:val="16"/>
                <w:szCs w:val="16"/>
                <w:lang w:val="it-IT"/>
              </w:rPr>
              <w:t>in pra</w:t>
            </w:r>
            <w:r>
              <w:rPr>
                <w:rFonts w:ascii="Merriweather Bold" w:hAnsi="Merriweather Bold"/>
                <w:sz w:val="16"/>
                <w:szCs w:val="16"/>
              </w:rPr>
              <w:t>ćenja kvalitete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0E0B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studentska evaluacija nastave na razini Sveučilišta </w:t>
            </w:r>
          </w:p>
          <w:p w14:paraId="61BBA1D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studentska evaluacija nastave na razini sastavnice</w:t>
            </w:r>
          </w:p>
          <w:p w14:paraId="763BEFB8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interna evaluacija nastave </w:t>
            </w:r>
          </w:p>
          <w:p w14:paraId="74685E67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62FA794C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ostalo</w:t>
            </w:r>
          </w:p>
        </w:tc>
      </w:tr>
      <w:tr w:rsidR="005E586B" w14:paraId="3A291218" w14:textId="77777777" w:rsidTr="004859D2">
        <w:trPr>
          <w:trHeight w:val="519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EEE9" w14:textId="77777777" w:rsidR="005E586B" w:rsidRDefault="00000000">
            <w:pPr>
              <w:pStyle w:val="Tijelo"/>
              <w:spacing w:before="20" w:after="20"/>
              <w:rPr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Fonts w:ascii="Merriweather Bold" w:hAnsi="Merriweather Bold"/>
                <w:sz w:val="16"/>
                <w:szCs w:val="16"/>
              </w:rPr>
              <w:lastRenderedPageBreak/>
              <w:t>Napomena</w:t>
            </w:r>
            <w:r>
              <w:rPr>
                <w:rFonts w:ascii="Merriweather Bold" w:hAnsi="Merriweather Bold"/>
                <w:sz w:val="16"/>
                <w:szCs w:val="16"/>
                <w:lang w:val="ru-RU"/>
              </w:rPr>
              <w:t> </w:t>
            </w:r>
            <w:r>
              <w:rPr>
                <w:rFonts w:ascii="Merriweather Bold" w:hAnsi="Merriweather Bold"/>
                <w:sz w:val="16"/>
                <w:szCs w:val="16"/>
              </w:rPr>
              <w:t>/</w:t>
            </w:r>
            <w:r>
              <w:rPr>
                <w:rFonts w:ascii="Merriweather Bold" w:hAnsi="Merriweather Bold"/>
                <w:sz w:val="16"/>
                <w:szCs w:val="16"/>
                <w:lang w:val="ru-RU"/>
              </w:rPr>
              <w:t> </w:t>
            </w:r>
          </w:p>
          <w:p w14:paraId="5F9B5CF3" w14:textId="77777777" w:rsidR="005E586B" w:rsidRDefault="00000000">
            <w:pPr>
              <w:pStyle w:val="Tijelo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Ostalo</w:t>
            </w:r>
          </w:p>
        </w:tc>
        <w:tc>
          <w:tcPr>
            <w:tcW w:w="75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BD4D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 xml:space="preserve">Sukladno čl. 6. 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lang w:val="it-IT"/>
              </w:rPr>
              <w:t>Eti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</w:rPr>
              <w:t>čkog kodeksa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</w:t>
            </w:r>
            <w:r>
              <w:rPr>
                <w:rFonts w:ascii="Merriweather Regular" w:hAnsi="Merriweather Regular"/>
                <w:sz w:val="16"/>
                <w:szCs w:val="16"/>
                <w:rtl/>
                <w:lang w:val="ar-SA"/>
              </w:rPr>
              <w:t>“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. </w:t>
            </w:r>
          </w:p>
          <w:p w14:paraId="35F029C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 xml:space="preserve">Prema čl. 14. 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  <w:lang w:val="it-IT"/>
              </w:rPr>
              <w:t>Eti</w:t>
            </w:r>
            <w:r>
              <w:rPr>
                <w:rFonts w:ascii="Merriweather Light" w:hAnsi="Merriweather Light"/>
                <w:i/>
                <w:iCs/>
                <w:sz w:val="16"/>
                <w:szCs w:val="16"/>
              </w:rPr>
              <w:t>čkog kodeksa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Sveučilišta u Zadru, od studenata se očekuje „odgovorno i savjesno ispunjavanje obveza. […</w:t>
            </w:r>
            <w:r>
              <w:rPr>
                <w:rFonts w:ascii="Merriweather Regular" w:hAnsi="Merriweather Regular"/>
                <w:sz w:val="16"/>
                <w:szCs w:val="16"/>
                <w:lang w:val="pt-PT"/>
              </w:rPr>
              <w:t>] Du</w:t>
            </w:r>
            <w:r>
              <w:rPr>
                <w:rFonts w:ascii="Merriweather Regular" w:hAnsi="Merriweather Regular"/>
                <w:sz w:val="16"/>
                <w:szCs w:val="16"/>
              </w:rPr>
              <w:t>žnost je studenata/studentica čuvati ugled i dostojanstvo svih članova/članica sveučilišne zajednice i Sveučilišta u Zadru u cjelini, promovirati moralne i akademske vrijednosti i nač</w:t>
            </w:r>
            <w:r>
              <w:rPr>
                <w:rFonts w:ascii="Merriweather Regular" w:hAnsi="Merriweather Regular"/>
                <w:sz w:val="16"/>
                <w:szCs w:val="16"/>
                <w:lang w:val="pt-PT"/>
              </w:rPr>
              <w:t>ela. [</w:t>
            </w:r>
            <w:r>
              <w:rPr>
                <w:rFonts w:ascii="Merriweather Regular" w:hAnsi="Merriweather Regular"/>
                <w:sz w:val="16"/>
                <w:szCs w:val="16"/>
              </w:rPr>
              <w:t>…</w:t>
            </w:r>
            <w:r>
              <w:rPr>
                <w:rFonts w:ascii="Merriweather Regular" w:hAnsi="Merriweather Regular"/>
                <w:sz w:val="16"/>
                <w:szCs w:val="16"/>
                <w:lang w:val="pt-PT"/>
              </w:rPr>
              <w:t xml:space="preserve">] </w:t>
            </w:r>
          </w:p>
          <w:p w14:paraId="5980C72F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  <w:lang w:val="it-IT"/>
              </w:rPr>
              <w:t>Eti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čki je nedopušten svaki čin koji predstavlja povrjedu akademskog poštenja. To uključuje, ali se ne ograničava samo na: </w:t>
            </w:r>
          </w:p>
          <w:p w14:paraId="3C663FE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>- razne oblike prijevare kao što su uporaba ili posjedovanje knjiga, bilježaka, podataka, elektroničkih naprava ili drugih pomagala za vrijeme ispita, osim u slučajevima kada je to izrijekom dopuš</w:t>
            </w:r>
            <w:r>
              <w:rPr>
                <w:rFonts w:ascii="Merriweather Regular" w:hAnsi="Merriweather Regular"/>
                <w:sz w:val="16"/>
                <w:szCs w:val="16"/>
                <w:lang w:val="it-IT"/>
              </w:rPr>
              <w:t xml:space="preserve">teno; </w:t>
            </w:r>
          </w:p>
          <w:p w14:paraId="39AD3A2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Merriweather Regular" w:hAnsi="Merriweather Regular"/>
                <w:sz w:val="16"/>
                <w:szCs w:val="16"/>
                <w:rtl/>
                <w:lang w:val="ar-SA"/>
              </w:rPr>
              <w:t>“</w:t>
            </w:r>
            <w:r>
              <w:rPr>
                <w:rFonts w:ascii="Merriweather Regular" w:hAnsi="Merriweather Regular"/>
                <w:sz w:val="16"/>
                <w:szCs w:val="16"/>
              </w:rPr>
              <w:t>.</w:t>
            </w:r>
          </w:p>
          <w:p w14:paraId="459C0850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="005E586B">
                <w:rPr>
                  <w:rStyle w:val="Hyperlink2"/>
                  <w:rFonts w:ascii="Merriweather Regular" w:hAnsi="Merriweather Regular"/>
                  <w:sz w:val="16"/>
                  <w:szCs w:val="16"/>
                </w:rPr>
                <w:t>Pravilnik o stegovnoj odgovornosti studenata/studentica Sveučilišta u Zadru</w:t>
              </w:r>
            </w:hyperlink>
            <w:r>
              <w:rPr>
                <w:rFonts w:ascii="Merriweather Regular" w:hAnsi="Merriweather Regular"/>
                <w:sz w:val="16"/>
                <w:szCs w:val="16"/>
              </w:rPr>
              <w:t>.</w:t>
            </w:r>
          </w:p>
          <w:p w14:paraId="0DF7B65D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</w:p>
          <w:p w14:paraId="731BC455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erriweather Regular" w:hAnsi="Merriweather Regular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B47D3B6" w14:textId="77777777" w:rsidR="005E586B" w:rsidRDefault="005E586B">
            <w:pPr>
              <w:pStyle w:val="Tijelo"/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</w:p>
          <w:p w14:paraId="5D91B712" w14:textId="77777777" w:rsidR="005E586B" w:rsidRDefault="00000000">
            <w:pPr>
              <w:pStyle w:val="Tijelo"/>
              <w:tabs>
                <w:tab w:val="left" w:pos="1218"/>
              </w:tabs>
              <w:spacing w:before="20" w:after="20"/>
              <w:jc w:val="both"/>
            </w:pPr>
            <w:r>
              <w:rPr>
                <w:rFonts w:ascii="Merriweather Regular" w:hAnsi="Merriweather Regular"/>
                <w:sz w:val="16"/>
                <w:szCs w:val="16"/>
              </w:rPr>
              <w:t>U kolegiju se koristi Merlin, sustav za e-učenje, pa su studentima potrebni AAI rač</w:t>
            </w:r>
            <w:r>
              <w:rPr>
                <w:rFonts w:ascii="Merriweather Regular" w:hAnsi="Merriweather Regular"/>
                <w:sz w:val="16"/>
                <w:szCs w:val="16"/>
                <w:lang w:val="it-IT"/>
              </w:rPr>
              <w:t>uni.</w:t>
            </w:r>
          </w:p>
        </w:tc>
      </w:tr>
    </w:tbl>
    <w:p w14:paraId="54A7F36A" w14:textId="77777777" w:rsidR="005E586B" w:rsidRDefault="005E586B">
      <w:pPr>
        <w:pStyle w:val="Tijelo"/>
        <w:widowControl w:val="0"/>
        <w:jc w:val="center"/>
      </w:pPr>
    </w:p>
    <w:sectPr w:rsidR="005E586B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E1C9" w14:textId="77777777" w:rsidR="00EF2B1C" w:rsidRDefault="00EF2B1C">
      <w:r>
        <w:separator/>
      </w:r>
    </w:p>
  </w:endnote>
  <w:endnote w:type="continuationSeparator" w:id="0">
    <w:p w14:paraId="464CCCEC" w14:textId="77777777" w:rsidR="00EF2B1C" w:rsidRDefault="00EF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 Regula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erriweather Bold">
    <w:panose1 w:val="00000800000000000000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374F" w14:textId="77777777" w:rsidR="005E586B" w:rsidRDefault="005E586B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AA26" w14:textId="77777777" w:rsidR="00EF2B1C" w:rsidRDefault="00EF2B1C">
      <w:r>
        <w:separator/>
      </w:r>
    </w:p>
  </w:footnote>
  <w:footnote w:type="continuationSeparator" w:id="0">
    <w:p w14:paraId="07A9B232" w14:textId="77777777" w:rsidR="00EF2B1C" w:rsidRDefault="00EF2B1C">
      <w:r>
        <w:continuationSeparator/>
      </w:r>
    </w:p>
  </w:footnote>
  <w:footnote w:type="continuationNotice" w:id="1">
    <w:p w14:paraId="0CF4A268" w14:textId="77777777" w:rsidR="00EF2B1C" w:rsidRDefault="00EF2B1C"/>
  </w:footnote>
  <w:footnote w:id="2">
    <w:p w14:paraId="090FF2F7" w14:textId="77777777" w:rsidR="005E586B" w:rsidRDefault="00000000">
      <w:pPr>
        <w:pStyle w:val="FootnoteText"/>
        <w:jc w:val="both"/>
      </w:pPr>
      <w:r>
        <w:rPr>
          <w:rFonts w:ascii="Merriweather Regular" w:eastAsia="Merriweather Regular" w:hAnsi="Merriweather Regular" w:cs="Merriweather Regular"/>
          <w:sz w:val="16"/>
          <w:szCs w:val="16"/>
          <w:vertAlign w:val="superscript"/>
        </w:rPr>
        <w:footnoteRef/>
      </w:r>
      <w:r>
        <w:rPr>
          <w:rFonts w:ascii="Merriweather Regular" w:hAnsi="Merriweather Regular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DCF7" w14:textId="77777777" w:rsidR="005E586B" w:rsidRDefault="00000000">
    <w:pPr>
      <w:pStyle w:val="Naslov2"/>
      <w:tabs>
        <w:tab w:val="left" w:pos="1418"/>
      </w:tabs>
      <w:spacing w:before="0" w:after="0"/>
      <w:ind w:left="1560"/>
      <w:rPr>
        <w:rFonts w:ascii="Merriweather Bold" w:hAnsi="Merriweather Bold"/>
        <w:b w:val="0"/>
        <w:bCs w:val="0"/>
        <w:sz w:val="18"/>
        <w:szCs w:val="1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F07D767" wp14:editId="1ADF7172">
              <wp:simplePos x="0" y="0"/>
              <wp:positionH relativeFrom="page">
                <wp:posOffset>692149</wp:posOffset>
              </wp:positionH>
              <wp:positionV relativeFrom="page">
                <wp:posOffset>181610</wp:posOffset>
              </wp:positionV>
              <wp:extent cx="1163320" cy="957581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320" cy="9575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014E77" w14:textId="77777777" w:rsidR="005E586B" w:rsidRDefault="00000000">
                          <w:pPr>
                            <w:pStyle w:val="Tijel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0DD0C8" wp14:editId="470F6797">
                                <wp:extent cx="724205" cy="782768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4205" cy="7827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4.5pt;margin-top:14.3pt;width:91.6pt;height:75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filltype="solid" color="#FFFFFF" opacity="100.0%" weight="0.8pt" dashstyle="solid" endcap="flat" miterlimit="8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Tijelo"/>
                    </w:pPr>
                    <w:r>
                      <w:drawing xmlns:a="http://schemas.openxmlformats.org/drawingml/2006/main">
                        <wp:inline distT="0" distB="0" distL="0" distR="0">
                          <wp:extent cx="724205" cy="782768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4205" cy="7827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 w14:paraId="12C4AA7A" w14:textId="77777777" w:rsidR="005E586B" w:rsidRDefault="00000000">
    <w:pPr>
      <w:pStyle w:val="Tijelo"/>
      <w:pBdr>
        <w:bottom w:val="single" w:sz="4" w:space="0" w:color="000000"/>
      </w:pBdr>
      <w:tabs>
        <w:tab w:val="left" w:pos="1418"/>
      </w:tabs>
      <w:spacing w:before="0" w:after="0"/>
      <w:ind w:left="1560"/>
      <w:jc w:val="right"/>
      <w:rPr>
        <w:rFonts w:ascii="Merriweather Regular" w:eastAsia="Merriweather Regular" w:hAnsi="Merriweather Regular" w:cs="Merriweather Regular"/>
        <w:sz w:val="18"/>
        <w:szCs w:val="18"/>
      </w:rPr>
    </w:pPr>
    <w:r>
      <w:rPr>
        <w:rFonts w:ascii="Merriweather Regular" w:hAnsi="Merriweather Regular"/>
        <w:sz w:val="18"/>
        <w:szCs w:val="18"/>
      </w:rPr>
      <w:t>Obrazac 1.3.2. Izvedbeni plan nastave (</w:t>
    </w:r>
    <w:r>
      <w:rPr>
        <w:rFonts w:ascii="Merriweather Light" w:hAnsi="Merriweather Light"/>
        <w:i/>
        <w:iCs/>
        <w:sz w:val="18"/>
        <w:szCs w:val="18"/>
      </w:rPr>
      <w:t>syllabus</w:t>
    </w:r>
    <w:r>
      <w:rPr>
        <w:rFonts w:ascii="Merriweather Regular" w:hAnsi="Merriweather Regular"/>
        <w:sz w:val="18"/>
        <w:szCs w:val="18"/>
      </w:rPr>
      <w:t>)</w:t>
    </w:r>
  </w:p>
  <w:p w14:paraId="1DCCCD62" w14:textId="77777777" w:rsidR="005E586B" w:rsidRDefault="005E586B">
    <w:pPr>
      <w:pStyle w:val="Header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874"/>
    <w:multiLevelType w:val="hybridMultilevel"/>
    <w:tmpl w:val="0E90FFD4"/>
    <w:lvl w:ilvl="0" w:tplc="1C5092B4">
      <w:start w:val="1"/>
      <w:numFmt w:val="bullet"/>
      <w:lvlText w:val="•"/>
      <w:lvlJc w:val="left"/>
      <w:pPr>
        <w:tabs>
          <w:tab w:val="left" w:pos="1218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4C271E">
      <w:start w:val="1"/>
      <w:numFmt w:val="bullet"/>
      <w:lvlText w:val="•"/>
      <w:lvlJc w:val="left"/>
      <w:pPr>
        <w:tabs>
          <w:tab w:val="left" w:pos="1218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18F9DE">
      <w:start w:val="1"/>
      <w:numFmt w:val="bullet"/>
      <w:lvlText w:val="•"/>
      <w:lvlJc w:val="left"/>
      <w:pPr>
        <w:tabs>
          <w:tab w:val="left" w:pos="1218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B62D3C">
      <w:start w:val="1"/>
      <w:numFmt w:val="bullet"/>
      <w:lvlText w:val="•"/>
      <w:lvlJc w:val="left"/>
      <w:pPr>
        <w:tabs>
          <w:tab w:val="left" w:pos="1218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2BF4E">
      <w:start w:val="1"/>
      <w:numFmt w:val="bullet"/>
      <w:lvlText w:val="•"/>
      <w:lvlJc w:val="left"/>
      <w:pPr>
        <w:tabs>
          <w:tab w:val="left" w:pos="1218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EE4392">
      <w:start w:val="1"/>
      <w:numFmt w:val="bullet"/>
      <w:lvlText w:val="•"/>
      <w:lvlJc w:val="left"/>
      <w:pPr>
        <w:tabs>
          <w:tab w:val="left" w:pos="1218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02024C">
      <w:start w:val="1"/>
      <w:numFmt w:val="bullet"/>
      <w:lvlText w:val="•"/>
      <w:lvlJc w:val="left"/>
      <w:pPr>
        <w:tabs>
          <w:tab w:val="left" w:pos="1218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20DFA">
      <w:start w:val="1"/>
      <w:numFmt w:val="bullet"/>
      <w:lvlText w:val="•"/>
      <w:lvlJc w:val="left"/>
      <w:pPr>
        <w:tabs>
          <w:tab w:val="left" w:pos="1218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E8ED4E">
      <w:start w:val="1"/>
      <w:numFmt w:val="bullet"/>
      <w:lvlText w:val="•"/>
      <w:lvlJc w:val="left"/>
      <w:pPr>
        <w:tabs>
          <w:tab w:val="left" w:pos="1218"/>
        </w:tabs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177AEF"/>
    <w:multiLevelType w:val="hybridMultilevel"/>
    <w:tmpl w:val="EBD0419C"/>
    <w:lvl w:ilvl="0" w:tplc="8CD42836">
      <w:start w:val="1"/>
      <w:numFmt w:val="bullet"/>
      <w:lvlText w:val="•"/>
      <w:lvlJc w:val="left"/>
      <w:pPr>
        <w:tabs>
          <w:tab w:val="left" w:pos="1218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6354A">
      <w:start w:val="1"/>
      <w:numFmt w:val="bullet"/>
      <w:lvlText w:val="•"/>
      <w:lvlJc w:val="left"/>
      <w:pPr>
        <w:tabs>
          <w:tab w:val="left" w:pos="1218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32AFA6">
      <w:start w:val="1"/>
      <w:numFmt w:val="bullet"/>
      <w:lvlText w:val="•"/>
      <w:lvlJc w:val="left"/>
      <w:pPr>
        <w:tabs>
          <w:tab w:val="left" w:pos="1218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A9C02">
      <w:start w:val="1"/>
      <w:numFmt w:val="bullet"/>
      <w:lvlText w:val="•"/>
      <w:lvlJc w:val="left"/>
      <w:pPr>
        <w:tabs>
          <w:tab w:val="left" w:pos="1218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AE316E">
      <w:start w:val="1"/>
      <w:numFmt w:val="bullet"/>
      <w:lvlText w:val="•"/>
      <w:lvlJc w:val="left"/>
      <w:pPr>
        <w:tabs>
          <w:tab w:val="left" w:pos="1218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005AC2">
      <w:start w:val="1"/>
      <w:numFmt w:val="bullet"/>
      <w:lvlText w:val="•"/>
      <w:lvlJc w:val="left"/>
      <w:pPr>
        <w:tabs>
          <w:tab w:val="left" w:pos="1218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6C5648">
      <w:start w:val="1"/>
      <w:numFmt w:val="bullet"/>
      <w:lvlText w:val="•"/>
      <w:lvlJc w:val="left"/>
      <w:pPr>
        <w:tabs>
          <w:tab w:val="left" w:pos="1218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36AEFE">
      <w:start w:val="1"/>
      <w:numFmt w:val="bullet"/>
      <w:lvlText w:val="•"/>
      <w:lvlJc w:val="left"/>
      <w:pPr>
        <w:tabs>
          <w:tab w:val="left" w:pos="1218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A6910">
      <w:start w:val="1"/>
      <w:numFmt w:val="bullet"/>
      <w:lvlText w:val="•"/>
      <w:lvlJc w:val="left"/>
      <w:pPr>
        <w:tabs>
          <w:tab w:val="left" w:pos="1218"/>
        </w:tabs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EC726F3"/>
    <w:multiLevelType w:val="hybridMultilevel"/>
    <w:tmpl w:val="7C2291B2"/>
    <w:lvl w:ilvl="0" w:tplc="C50A957A">
      <w:start w:val="1"/>
      <w:numFmt w:val="decimal"/>
      <w:lvlText w:val="%1."/>
      <w:lvlJc w:val="left"/>
      <w:pPr>
        <w:tabs>
          <w:tab w:val="left" w:pos="12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06968">
      <w:start w:val="1"/>
      <w:numFmt w:val="lowerLetter"/>
      <w:suff w:val="nothing"/>
      <w:lvlText w:val="%2."/>
      <w:lvlJc w:val="left"/>
      <w:pPr>
        <w:tabs>
          <w:tab w:val="left" w:pos="1218"/>
        </w:tabs>
        <w:ind w:left="1218" w:hanging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4CC4E">
      <w:start w:val="1"/>
      <w:numFmt w:val="lowerRoman"/>
      <w:lvlText w:val="%3."/>
      <w:lvlJc w:val="left"/>
      <w:pPr>
        <w:tabs>
          <w:tab w:val="left" w:pos="1218"/>
        </w:tabs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7C4DE6">
      <w:start w:val="1"/>
      <w:numFmt w:val="decimal"/>
      <w:lvlText w:val="%4."/>
      <w:lvlJc w:val="left"/>
      <w:pPr>
        <w:tabs>
          <w:tab w:val="left" w:pos="121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BAE75A">
      <w:start w:val="1"/>
      <w:numFmt w:val="lowerLetter"/>
      <w:lvlText w:val="%5."/>
      <w:lvlJc w:val="left"/>
      <w:pPr>
        <w:tabs>
          <w:tab w:val="left" w:pos="121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8433D8">
      <w:start w:val="1"/>
      <w:numFmt w:val="lowerRoman"/>
      <w:lvlText w:val="%6."/>
      <w:lvlJc w:val="left"/>
      <w:pPr>
        <w:tabs>
          <w:tab w:val="left" w:pos="1218"/>
        </w:tabs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4005AA">
      <w:start w:val="1"/>
      <w:numFmt w:val="decimal"/>
      <w:lvlText w:val="%7."/>
      <w:lvlJc w:val="left"/>
      <w:pPr>
        <w:tabs>
          <w:tab w:val="left" w:pos="121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2259A">
      <w:start w:val="1"/>
      <w:numFmt w:val="lowerLetter"/>
      <w:lvlText w:val="%8."/>
      <w:lvlJc w:val="left"/>
      <w:pPr>
        <w:tabs>
          <w:tab w:val="left" w:pos="121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A415FC">
      <w:start w:val="1"/>
      <w:numFmt w:val="lowerRoman"/>
      <w:lvlText w:val="%9."/>
      <w:lvlJc w:val="left"/>
      <w:pPr>
        <w:tabs>
          <w:tab w:val="left" w:pos="1218"/>
        </w:tabs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6117979">
    <w:abstractNumId w:val="2"/>
  </w:num>
  <w:num w:numId="2" w16cid:durableId="1586303273">
    <w:abstractNumId w:val="0"/>
  </w:num>
  <w:num w:numId="3" w16cid:durableId="109841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6B"/>
    <w:rsid w:val="000C3574"/>
    <w:rsid w:val="004859D2"/>
    <w:rsid w:val="00511994"/>
    <w:rsid w:val="005E586B"/>
    <w:rsid w:val="00773D65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15C627"/>
  <w15:docId w15:val="{3936AA1F-E991-BE4A-8A01-665AF3C2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H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slov2">
    <w:name w:val="Naslov 2"/>
    <w:pPr>
      <w:spacing w:before="100" w:after="100"/>
      <w:outlineLvl w:val="0"/>
    </w:pPr>
    <w:rPr>
      <w:rFonts w:cs="Arial Unicode MS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before="120" w:after="12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Merriweather Regular" w:eastAsia="Merriweather Regular" w:hAnsi="Merriweather Regular" w:cs="Merriweather Regular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Link"/>
    <w:rPr>
      <w:outline w:val="0"/>
      <w:color w:val="0000FF"/>
      <w:u w:val="single" w:color="0000FF"/>
    </w:rPr>
  </w:style>
  <w:style w:type="paragraph" w:styleId="ListParagraph">
    <w:name w:val="List Paragraph"/>
    <w:pPr>
      <w:spacing w:before="120" w:after="120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Link"/>
    <w:rPr>
      <w:i/>
      <w:iCs/>
      <w:outline w:val="0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lan@unizd.hr" TargetMode="Externa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zornija@unizd.hr" TargetMode="External"/><Relationship Id="rId12" Type="http://schemas.openxmlformats.org/officeDocument/2006/relationships/hyperlink" Target="https://www.ancient-greece.org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iu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ncient.eu/explore/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historyresources.net/ARTHLinks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erriweather Bold"/>
        <a:ea typeface="Merriweather Bold"/>
        <a:cs typeface="Merriweather Bold"/>
      </a:majorFont>
      <a:minorFont>
        <a:latin typeface="Merriweather Regular"/>
        <a:ea typeface="Merriweather Regular"/>
        <a:cs typeface="Merriweather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 Zornija</cp:lastModifiedBy>
  <cp:revision>3</cp:revision>
  <dcterms:created xsi:type="dcterms:W3CDTF">2025-09-29T01:28:00Z</dcterms:created>
  <dcterms:modified xsi:type="dcterms:W3CDTF">2025-09-29T01:53:00Z</dcterms:modified>
</cp:coreProperties>
</file>